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AB" w:rsidRPr="00FA263D" w:rsidRDefault="00FF32AB" w:rsidP="00B03D1B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LIQUI MOLY Bilanz: Der Motor läuft</w:t>
      </w:r>
    </w:p>
    <w:p w:rsidR="00B03D1B" w:rsidRPr="00FA263D" w:rsidRDefault="00B03D1B" w:rsidP="00B03D1B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Umsatz und Ertrag steigen 2018. Auch </w:t>
      </w:r>
      <w:r w:rsidR="000B0B8D">
        <w:rPr>
          <w:rFonts w:ascii="Arial" w:hAnsi="Arial" w:cs="Arial"/>
          <w:sz w:val="28"/>
          <w:szCs w:val="28"/>
        </w:rPr>
        <w:t xml:space="preserve">zum Jahresbeginn 2019 </w:t>
      </w:r>
      <w:r>
        <w:rPr>
          <w:rFonts w:ascii="Arial" w:hAnsi="Arial" w:cs="Arial"/>
          <w:sz w:val="28"/>
          <w:szCs w:val="28"/>
        </w:rPr>
        <w:t>verzeichnet der Schmierstoffspezialist ein Plus</w:t>
      </w:r>
      <w:r w:rsidR="00E148CF">
        <w:rPr>
          <w:rFonts w:ascii="Arial" w:hAnsi="Arial" w:cs="Arial"/>
          <w:sz w:val="28"/>
          <w:szCs w:val="28"/>
        </w:rPr>
        <w:t>.</w:t>
      </w:r>
    </w:p>
    <w:p w:rsidR="00585486" w:rsidRDefault="00B03D1B" w:rsidP="00B03D1B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 2019 –</w:t>
      </w:r>
      <w:r w:rsidR="00A33DE4">
        <w:rPr>
          <w:rFonts w:ascii="Arial" w:hAnsi="Arial" w:cs="Arial"/>
          <w:b/>
        </w:rPr>
        <w:t xml:space="preserve"> </w:t>
      </w:r>
      <w:r w:rsidR="00585486">
        <w:rPr>
          <w:rFonts w:ascii="Arial" w:hAnsi="Arial" w:cs="Arial"/>
          <w:b/>
        </w:rPr>
        <w:t>Der deutsche Öl- und Additivspezialist</w:t>
      </w:r>
      <w:r>
        <w:rPr>
          <w:rFonts w:ascii="Arial" w:hAnsi="Arial" w:cs="Arial"/>
          <w:b/>
        </w:rPr>
        <w:t xml:space="preserve"> LIQUI MOLY</w:t>
      </w:r>
      <w:r w:rsidR="00585486">
        <w:rPr>
          <w:rFonts w:ascii="Arial" w:hAnsi="Arial" w:cs="Arial"/>
          <w:b/>
        </w:rPr>
        <w:t xml:space="preserve"> wächst weiter</w:t>
      </w:r>
      <w:r>
        <w:rPr>
          <w:rFonts w:ascii="Arial" w:hAnsi="Arial" w:cs="Arial"/>
          <w:b/>
        </w:rPr>
        <w:t xml:space="preserve">. </w:t>
      </w:r>
      <w:r w:rsidR="007F6EC9">
        <w:rPr>
          <w:rFonts w:ascii="Arial" w:hAnsi="Arial" w:cs="Arial"/>
          <w:b/>
        </w:rPr>
        <w:t>So lautet</w:t>
      </w:r>
      <w:r w:rsidR="00585486">
        <w:rPr>
          <w:rFonts w:ascii="Arial" w:hAnsi="Arial" w:cs="Arial"/>
          <w:b/>
        </w:rPr>
        <w:t xml:space="preserve"> das Ergebnis der von der Wirtschaftsprüfungsgesellschaft Ernst &amp; Young </w:t>
      </w:r>
      <w:r w:rsidR="00110AF1">
        <w:rPr>
          <w:rFonts w:ascii="Arial" w:hAnsi="Arial" w:cs="Arial"/>
          <w:b/>
        </w:rPr>
        <w:t>testierten</w:t>
      </w:r>
      <w:r w:rsidR="00585486">
        <w:rPr>
          <w:rFonts w:ascii="Arial" w:hAnsi="Arial" w:cs="Arial"/>
          <w:b/>
        </w:rPr>
        <w:t xml:space="preserve"> Bilanz. 2018 stieg der Umsatz auf den Rek</w:t>
      </w:r>
      <w:r w:rsidR="007F6EC9">
        <w:rPr>
          <w:rFonts w:ascii="Arial" w:hAnsi="Arial" w:cs="Arial"/>
          <w:b/>
        </w:rPr>
        <w:t xml:space="preserve">ordwert von 544 Millionen Euro – ein </w:t>
      </w:r>
      <w:r w:rsidR="00585486">
        <w:rPr>
          <w:rFonts w:ascii="Arial" w:hAnsi="Arial" w:cs="Arial"/>
          <w:b/>
        </w:rPr>
        <w:t xml:space="preserve">Plus von 2 Prozent gegenüber 2017. Im gleichen Maße wuchs der Ertrag auf 52,6 Millionen Euro. </w:t>
      </w:r>
      <w:r w:rsidR="007F6EC9">
        <w:rPr>
          <w:rFonts w:ascii="Arial" w:hAnsi="Arial" w:cs="Arial"/>
          <w:b/>
        </w:rPr>
        <w:t>Das entspricht einer Umsatzrendite von 9,7 Prozent. „Mit Blick auf die wirtschaftlichen Rahmenbedingungen haben wir in einem schwierigen Jahr ein akzeptables Ergebnis erwirtschaftet“, resümiert LIQUI MOLY-Geschäftsführer Ernst Prost.</w:t>
      </w:r>
      <w:r w:rsidR="006F5B2D">
        <w:rPr>
          <w:rFonts w:ascii="Arial" w:hAnsi="Arial" w:cs="Arial"/>
          <w:b/>
        </w:rPr>
        <w:t xml:space="preserve"> Trotz anhaltender wirtschaftspolitscher Unwägbarkeiten rechnet das Unternehmen auch 2019 mit einem positiven Ergebnis.</w:t>
      </w:r>
    </w:p>
    <w:p w:rsidR="006F61D6" w:rsidRDefault="00824AE5" w:rsidP="00B03D1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Vergangenes Jahr erwies sich der extrem volatile Preis für Rohöl als größter Kostentreiber. Denn die für LIQUI MOLY wichtigen </w:t>
      </w:r>
      <w:proofErr w:type="spellStart"/>
      <w:r>
        <w:rPr>
          <w:rFonts w:ascii="Arial" w:hAnsi="Arial" w:cs="Arial"/>
        </w:rPr>
        <w:t>Grundöle</w:t>
      </w:r>
      <w:proofErr w:type="spellEnd"/>
      <w:r>
        <w:rPr>
          <w:rFonts w:ascii="Arial" w:hAnsi="Arial" w:cs="Arial"/>
        </w:rPr>
        <w:t xml:space="preserve"> und Additivpakete folgten der Preisentwicklung am Rohölmarkt. Kostete ein Barrel Rohöl 2017 im Mittel rund 55 US-Dollar, lag der Preis ein Jahr später bei zirka 70 US-Dollar. „Bei der Herstellung von Schmierstoffen bestimmen diese Rohstoffpreise in großem Umfang die Gesamtkosten</w:t>
      </w:r>
      <w:r w:rsidR="006F61D6">
        <w:rPr>
          <w:rFonts w:ascii="Arial" w:hAnsi="Arial" w:cs="Arial"/>
        </w:rPr>
        <w:t>“, erläutert Ernst Prost.</w:t>
      </w:r>
    </w:p>
    <w:p w:rsidR="00F617C4" w:rsidRDefault="006F61D6" w:rsidP="00B03D1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Für solche Unwägbarkeiten ist LIQUI MOLY bestens gerüstet. Bei einer Bilanzsumme von 175 Millionen Euro weist das Unternehme</w:t>
      </w:r>
      <w:r w:rsidR="00A33DE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eine Eigenkapitalquote von 83 Prozent auf. Außerdem bestehen keinerlei Bankverbindlichkeiten. „Wir laufen ganz allein aus eigener Kraft</w:t>
      </w:r>
      <w:r w:rsidR="00B60291">
        <w:rPr>
          <w:rFonts w:ascii="Arial" w:hAnsi="Arial" w:cs="Arial"/>
        </w:rPr>
        <w:t>, völlig schuldenfrei und müssen folglich keinerlei Dividenden oder Zinsen bezahlen</w:t>
      </w:r>
      <w:r>
        <w:rPr>
          <w:rFonts w:ascii="Arial" w:hAnsi="Arial" w:cs="Arial"/>
        </w:rPr>
        <w:t>. Das ist wichtig</w:t>
      </w:r>
      <w:r w:rsidR="00F617C4">
        <w:rPr>
          <w:rFonts w:ascii="Arial" w:hAnsi="Arial" w:cs="Arial"/>
        </w:rPr>
        <w:t xml:space="preserve">, um auch künftig auf Veränderungen reagieren oder im günstigeren Fall, diese selbst </w:t>
      </w:r>
      <w:r w:rsidR="00F617C4">
        <w:rPr>
          <w:rFonts w:ascii="Arial" w:hAnsi="Arial" w:cs="Arial"/>
        </w:rPr>
        <w:lastRenderedPageBreak/>
        <w:t>gestalten zu können</w:t>
      </w:r>
      <w:r>
        <w:rPr>
          <w:rFonts w:ascii="Arial" w:hAnsi="Arial" w:cs="Arial"/>
        </w:rPr>
        <w:t>“, unterstreicht der Geschäftsführer.</w:t>
      </w:r>
      <w:r w:rsidR="00F617C4">
        <w:rPr>
          <w:rFonts w:ascii="Arial" w:hAnsi="Arial" w:cs="Arial"/>
        </w:rPr>
        <w:t xml:space="preserve"> Dazu zählt er Investitionen</w:t>
      </w:r>
      <w:r w:rsidR="00D172B2">
        <w:rPr>
          <w:rFonts w:ascii="Arial" w:hAnsi="Arial" w:cs="Arial"/>
        </w:rPr>
        <w:t>,</w:t>
      </w:r>
      <w:r w:rsidR="00F617C4">
        <w:rPr>
          <w:rFonts w:ascii="Arial" w:hAnsi="Arial" w:cs="Arial"/>
        </w:rPr>
        <w:t xml:space="preserve"> um die Zukunft des Unternehmens und damit beinahe 900 Arbeitsplätze zu sichern.</w:t>
      </w:r>
    </w:p>
    <w:p w:rsidR="00F617C4" w:rsidRDefault="00F617C4" w:rsidP="00F617C4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Ein solches Projekt ist der Bau eines hochmodernen</w:t>
      </w:r>
      <w:r w:rsidRPr="00F61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Zentrallagers im Hafen von Dillingen an der Saar. Es wird die Lagerkapazität erweitern. Rund </w:t>
      </w:r>
      <w:r w:rsidR="005C6D2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 Millionen Euro sind als Investitionssumme veranschlagt. Direkt neben dem </w:t>
      </w:r>
      <w:r w:rsidR="005C6D23">
        <w:rPr>
          <w:rFonts w:ascii="Arial" w:hAnsi="Arial" w:cs="Arial"/>
        </w:rPr>
        <w:t xml:space="preserve">bestehenden </w:t>
      </w:r>
      <w:r>
        <w:rPr>
          <w:rFonts w:ascii="Arial" w:hAnsi="Arial" w:cs="Arial"/>
        </w:rPr>
        <w:t xml:space="preserve">Tanklager soll das </w:t>
      </w:r>
      <w:r w:rsidR="005C6D23">
        <w:rPr>
          <w:rFonts w:ascii="Arial" w:hAnsi="Arial" w:cs="Arial"/>
        </w:rPr>
        <w:t xml:space="preserve">neue </w:t>
      </w:r>
      <w:r>
        <w:rPr>
          <w:rFonts w:ascii="Arial" w:hAnsi="Arial" w:cs="Arial"/>
        </w:rPr>
        <w:t>Zentrallager</w:t>
      </w:r>
      <w:r w:rsidR="005C6D23">
        <w:rPr>
          <w:rFonts w:ascii="Arial" w:hAnsi="Arial" w:cs="Arial"/>
        </w:rPr>
        <w:t xml:space="preserve"> mit 50.000 </w:t>
      </w:r>
      <w:proofErr w:type="spellStart"/>
      <w:r w:rsidR="005C6D23">
        <w:rPr>
          <w:rFonts w:ascii="Arial" w:hAnsi="Arial" w:cs="Arial"/>
        </w:rPr>
        <w:t>Palettenstellplätzen</w:t>
      </w:r>
      <w:proofErr w:type="spellEnd"/>
      <w:r>
        <w:rPr>
          <w:rFonts w:ascii="Arial" w:hAnsi="Arial" w:cs="Arial"/>
        </w:rPr>
        <w:t xml:space="preserve"> verwirklicht werden. „Dieser Schritt ist unabdingbar, um stets ausreichend Ware zur Verfügung zu haben, damit wir unsere Kunden zuverlässig beliefern können“, </w:t>
      </w:r>
      <w:r w:rsidR="00975A97">
        <w:rPr>
          <w:rFonts w:ascii="Arial" w:hAnsi="Arial" w:cs="Arial"/>
        </w:rPr>
        <w:t>sagt</w:t>
      </w:r>
      <w:r>
        <w:rPr>
          <w:rFonts w:ascii="Arial" w:hAnsi="Arial" w:cs="Arial"/>
        </w:rPr>
        <w:t xml:space="preserve"> Ernst Prost.</w:t>
      </w:r>
    </w:p>
    <w:p w:rsidR="00D9612A" w:rsidRDefault="00FB17A1" w:rsidP="00B03D1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Seit Anfang des Jahres </w:t>
      </w:r>
      <w:r w:rsidR="00633823">
        <w:rPr>
          <w:rFonts w:ascii="Arial" w:hAnsi="Arial" w:cs="Arial"/>
        </w:rPr>
        <w:t>lässt</w:t>
      </w:r>
      <w:r>
        <w:rPr>
          <w:rFonts w:ascii="Arial" w:hAnsi="Arial" w:cs="Arial"/>
        </w:rPr>
        <w:t xml:space="preserve"> der Auslieferungsprozess </w:t>
      </w:r>
      <w:r w:rsidR="00633823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gewohnt</w:t>
      </w:r>
      <w:r w:rsidR="00633823">
        <w:rPr>
          <w:rFonts w:ascii="Arial" w:hAnsi="Arial" w:cs="Arial"/>
        </w:rPr>
        <w:t xml:space="preserve"> hohe Zuverlässigkeit missen</w:t>
      </w:r>
      <w:r>
        <w:rPr>
          <w:rFonts w:ascii="Arial" w:hAnsi="Arial" w:cs="Arial"/>
        </w:rPr>
        <w:t>. „</w:t>
      </w:r>
      <w:r w:rsidR="00F109B8">
        <w:rPr>
          <w:rFonts w:ascii="Arial" w:hAnsi="Arial" w:cs="Arial"/>
        </w:rPr>
        <w:t>Der Grund ist nicht die</w:t>
      </w:r>
      <w:r>
        <w:rPr>
          <w:rFonts w:ascii="Arial" w:hAnsi="Arial" w:cs="Arial"/>
        </w:rPr>
        <w:t xml:space="preserve"> Lagersituation, sondern </w:t>
      </w:r>
      <w:r w:rsidR="00F109B8">
        <w:rPr>
          <w:rFonts w:ascii="Arial" w:hAnsi="Arial" w:cs="Arial"/>
        </w:rPr>
        <w:t>die Umstellung auf eine</w:t>
      </w:r>
      <w:r>
        <w:rPr>
          <w:rFonts w:ascii="Arial" w:hAnsi="Arial" w:cs="Arial"/>
        </w:rPr>
        <w:t xml:space="preserve"> neue Software“, erklärt </w:t>
      </w:r>
      <w:r w:rsidR="00E912F0">
        <w:rPr>
          <w:rFonts w:ascii="Arial" w:hAnsi="Arial" w:cs="Arial"/>
        </w:rPr>
        <w:t>der Geschäftsführer</w:t>
      </w:r>
      <w:r>
        <w:rPr>
          <w:rFonts w:ascii="Arial" w:hAnsi="Arial" w:cs="Arial"/>
        </w:rPr>
        <w:t>. Zum Jahreswechsel wurde ein Programm zur unternehmensweiten Ressourcenplanung, ein so genanntes ER</w:t>
      </w:r>
      <w:r w:rsidR="00F77CA8">
        <w:rPr>
          <w:rFonts w:ascii="Arial" w:hAnsi="Arial" w:cs="Arial"/>
        </w:rPr>
        <w:t>P</w:t>
      </w:r>
      <w:r>
        <w:rPr>
          <w:rFonts w:ascii="Arial" w:hAnsi="Arial" w:cs="Arial"/>
        </w:rPr>
        <w:t>-System, in Betrieb genommen. Der hoch komplexen Materie</w:t>
      </w:r>
      <w:r w:rsidR="00F77CA8">
        <w:rPr>
          <w:rFonts w:ascii="Arial" w:hAnsi="Arial" w:cs="Arial"/>
        </w:rPr>
        <w:t xml:space="preserve"> </w:t>
      </w:r>
      <w:r w:rsidR="005C6D23">
        <w:rPr>
          <w:rFonts w:ascii="Arial" w:hAnsi="Arial" w:cs="Arial"/>
        </w:rPr>
        <w:t>mit</w:t>
      </w:r>
      <w:r w:rsidR="00F77CA8">
        <w:rPr>
          <w:rFonts w:ascii="Arial" w:hAnsi="Arial" w:cs="Arial"/>
        </w:rPr>
        <w:t xml:space="preserve"> dem rund 4.000 Artikel</w:t>
      </w:r>
      <w:r>
        <w:rPr>
          <w:rFonts w:ascii="Arial" w:hAnsi="Arial" w:cs="Arial"/>
        </w:rPr>
        <w:t xml:space="preserve"> </w:t>
      </w:r>
      <w:r w:rsidR="00F77CA8">
        <w:rPr>
          <w:rFonts w:ascii="Arial" w:hAnsi="Arial" w:cs="Arial"/>
        </w:rPr>
        <w:t>umfassenden Sortiment</w:t>
      </w:r>
      <w:r w:rsidR="005C6D23">
        <w:rPr>
          <w:rFonts w:ascii="Arial" w:hAnsi="Arial" w:cs="Arial"/>
        </w:rPr>
        <w:t xml:space="preserve"> und den zig tausend Kunden in 150 Ländern</w:t>
      </w:r>
      <w:r w:rsidR="00F77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es geschuldet, dass noch nicht alle Prozesse </w:t>
      </w:r>
      <w:r w:rsidR="00633823">
        <w:rPr>
          <w:rFonts w:ascii="Arial" w:hAnsi="Arial" w:cs="Arial"/>
        </w:rPr>
        <w:t>voll</w:t>
      </w:r>
      <w:r>
        <w:rPr>
          <w:rFonts w:ascii="Arial" w:hAnsi="Arial" w:cs="Arial"/>
        </w:rPr>
        <w:t xml:space="preserve"> zuverlässig ablaufen.</w:t>
      </w:r>
      <w:r w:rsidR="00E707FC">
        <w:rPr>
          <w:rFonts w:ascii="Arial" w:hAnsi="Arial" w:cs="Arial"/>
        </w:rPr>
        <w:t xml:space="preserve"> </w:t>
      </w:r>
      <w:r w:rsidR="00633823">
        <w:rPr>
          <w:rFonts w:ascii="Arial" w:hAnsi="Arial" w:cs="Arial"/>
        </w:rPr>
        <w:t>T</w:t>
      </w:r>
      <w:r w:rsidR="00E707FC">
        <w:rPr>
          <w:rFonts w:ascii="Arial" w:hAnsi="Arial" w:cs="Arial"/>
        </w:rPr>
        <w:t>rotzdem verzeichnete der Schmierstoffspezialist von Januar bis April ein Umsatzplus von 4 Prozent.</w:t>
      </w:r>
      <w:r w:rsidR="005C6D23">
        <w:rPr>
          <w:rFonts w:ascii="Arial" w:hAnsi="Arial" w:cs="Arial"/>
        </w:rPr>
        <w:t xml:space="preserve"> „Nicht auszudenken, welch grandiosen Start wir 2019 bei voller Lieferfähigkeit erwischt hätten“, so Ernst Prost. „</w:t>
      </w:r>
      <w:r w:rsidR="00895B6E">
        <w:rPr>
          <w:rFonts w:ascii="Arial" w:hAnsi="Arial" w:cs="Arial"/>
        </w:rPr>
        <w:t xml:space="preserve">Getreu dem Motto der Innovationsregion Ulm </w:t>
      </w:r>
      <w:r w:rsidR="00D10B14">
        <w:rPr>
          <w:rFonts w:ascii="Arial" w:hAnsi="Arial" w:cs="Arial"/>
        </w:rPr>
        <w:t>wollen wir mit</w:t>
      </w:r>
      <w:r w:rsidR="00895B6E">
        <w:rPr>
          <w:rFonts w:ascii="Arial" w:hAnsi="Arial" w:cs="Arial"/>
        </w:rPr>
        <w:t xml:space="preserve"> LIQUI MOLY weiter Spitze im Süden bleiben</w:t>
      </w:r>
      <w:r w:rsidR="005C6D23">
        <w:rPr>
          <w:rFonts w:ascii="Arial" w:hAnsi="Arial" w:cs="Arial"/>
        </w:rPr>
        <w:t xml:space="preserve"> und in der Welt</w:t>
      </w:r>
      <w:r w:rsidR="00895B6E">
        <w:rPr>
          <w:rFonts w:ascii="Arial" w:hAnsi="Arial" w:cs="Arial"/>
        </w:rPr>
        <w:t>.</w:t>
      </w:r>
      <w:r w:rsidR="005C6D23">
        <w:rPr>
          <w:rFonts w:ascii="Arial" w:hAnsi="Arial" w:cs="Arial"/>
        </w:rPr>
        <w:t xml:space="preserve"> Das ist unser Anspruch und unser Ziel.</w:t>
      </w:r>
      <w:r w:rsidR="00D10B14">
        <w:rPr>
          <w:rFonts w:ascii="Arial" w:hAnsi="Arial" w:cs="Arial"/>
        </w:rPr>
        <w:t>“</w:t>
      </w:r>
    </w:p>
    <w:p w:rsidR="00640EA5" w:rsidRDefault="00640EA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0EA5" w:rsidRDefault="00640EA5" w:rsidP="00B03D1B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</w:p>
    <w:tbl>
      <w:tblPr>
        <w:tblStyle w:val="Tabellenraster"/>
        <w:tblW w:w="6384" w:type="dxa"/>
        <w:tblLook w:val="04A0" w:firstRow="1" w:lastRow="0" w:firstColumn="1" w:lastColumn="0" w:noHBand="0" w:noVBand="1"/>
      </w:tblPr>
      <w:tblGrid>
        <w:gridCol w:w="3768"/>
        <w:gridCol w:w="2616"/>
      </w:tblGrid>
      <w:tr w:rsidR="00640EA5" w:rsidRPr="00A42ABC" w:rsidTr="00640EA5">
        <w:tc>
          <w:tcPr>
            <w:tcW w:w="3768" w:type="dxa"/>
          </w:tcPr>
          <w:p w:rsidR="00640EA5" w:rsidRPr="00572E0F" w:rsidRDefault="00640EA5" w:rsidP="00D1396C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 w:rsidRPr="00572E0F">
              <w:rPr>
                <w:rFonts w:ascii="Arial" w:hAnsi="Arial" w:cs="Arial"/>
                <w:b/>
                <w:bCs/>
              </w:rPr>
              <w:t>LIQUI MOLY in Zahlen</w:t>
            </w:r>
          </w:p>
        </w:tc>
        <w:tc>
          <w:tcPr>
            <w:tcW w:w="2616" w:type="dxa"/>
          </w:tcPr>
          <w:p w:rsidR="00640EA5" w:rsidRPr="00A42ABC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Umsatz 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Ertrag vor Steuern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Bilanzsumme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Eigenkapital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Bankverbindlichkeiten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Schmierstoffproduktion</w:t>
            </w:r>
          </w:p>
        </w:tc>
        <w:tc>
          <w:tcPr>
            <w:tcW w:w="2616" w:type="dxa"/>
          </w:tcPr>
          <w:p w:rsidR="00640EA5" w:rsidRPr="002B61E4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82.386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Additivproduktion</w:t>
            </w:r>
          </w:p>
        </w:tc>
        <w:tc>
          <w:tcPr>
            <w:tcW w:w="2616" w:type="dxa"/>
          </w:tcPr>
          <w:p w:rsidR="00640EA5" w:rsidRPr="002B61E4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14,4 Mio. </w:t>
            </w:r>
            <w:r>
              <w:rPr>
                <w:rFonts w:ascii="Arial" w:hAnsi="Arial" w:cs="Arial"/>
              </w:rPr>
              <w:br/>
              <w:t>Dosen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Vorratsbestände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Mitunternehmer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Investitionen ins Anlagevermögen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Ausgaben für Marketing und Werbung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 Mio. Euro</w:t>
            </w:r>
          </w:p>
        </w:tc>
      </w:tr>
      <w:tr w:rsidR="00640EA5" w:rsidTr="00640EA5">
        <w:tc>
          <w:tcPr>
            <w:tcW w:w="3768" w:type="dxa"/>
          </w:tcPr>
          <w:p w:rsidR="00640EA5" w:rsidRDefault="00640EA5" w:rsidP="00D1396C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Ausgaben für Forschung und Entwicklung</w:t>
            </w:r>
          </w:p>
        </w:tc>
        <w:tc>
          <w:tcPr>
            <w:tcW w:w="2616" w:type="dxa"/>
          </w:tcPr>
          <w:p w:rsidR="00640EA5" w:rsidRDefault="00640EA5" w:rsidP="00D1396C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 Mio. Euro</w:t>
            </w:r>
          </w:p>
        </w:tc>
      </w:tr>
      <w:bookmarkEnd w:id="0"/>
    </w:tbl>
    <w:p w:rsidR="00640EA5" w:rsidRDefault="00640EA5" w:rsidP="00B03D1B">
      <w:pPr>
        <w:spacing w:after="240" w:line="360" w:lineRule="auto"/>
        <w:ind w:right="1985"/>
        <w:jc w:val="both"/>
        <w:rPr>
          <w:rFonts w:ascii="Arial" w:hAnsi="Arial" w:cs="Arial"/>
        </w:rPr>
      </w:pPr>
    </w:p>
    <w:p w:rsidR="007D4BFA" w:rsidRDefault="007D4BFA" w:rsidP="007D4BFA">
      <w:pPr>
        <w:widowControl w:val="0"/>
        <w:spacing w:line="360" w:lineRule="auto"/>
        <w:ind w:right="1843"/>
        <w:rPr>
          <w:rFonts w:ascii="Arial" w:hAnsi="Arial" w:cs="Arial"/>
          <w:b/>
          <w:bCs/>
        </w:rPr>
      </w:pPr>
    </w:p>
    <w:p w:rsidR="007D4BFA" w:rsidRPr="00965678" w:rsidRDefault="007D4BFA" w:rsidP="007D4BFA">
      <w:pPr>
        <w:widowControl w:val="0"/>
        <w:spacing w:line="360" w:lineRule="auto"/>
        <w:ind w:right="1843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7D4BFA" w:rsidRPr="00C555B6" w:rsidRDefault="007D4BFA" w:rsidP="007D4BFA">
      <w:pPr>
        <w:spacing w:after="240" w:line="360" w:lineRule="auto"/>
        <w:ind w:right="1985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lastRenderedPageBreak/>
        <w:t xml:space="preserve">mehr als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Pr="0070585A">
        <w:rPr>
          <w:rFonts w:ascii="Arial" w:hAnsi="Arial" w:cs="Arial"/>
        </w:rPr>
        <w:t xml:space="preserve"> Mio. Euro.</w:t>
      </w:r>
    </w:p>
    <w:p w:rsidR="00B03D1B" w:rsidRDefault="00B03D1B" w:rsidP="00B03D1B">
      <w:pPr>
        <w:spacing w:line="360" w:lineRule="auto"/>
        <w:ind w:right="1984"/>
        <w:rPr>
          <w:rFonts w:ascii="Arial" w:hAnsi="Arial" w:cs="Arial"/>
        </w:rPr>
      </w:pP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B03D1B" w:rsidRPr="00F1648E" w:rsidRDefault="00B03D1B" w:rsidP="00B03D1B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B03D1B" w:rsidRPr="00366754" w:rsidRDefault="00640EA5" w:rsidP="00B03D1B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</w:rPr>
      </w:pPr>
      <w:hyperlink r:id="rId7" w:history="1">
        <w:r w:rsidR="00B03D1B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B03D1B" w:rsidRPr="00183412" w:rsidRDefault="00B03D1B" w:rsidP="00B03D1B"/>
    <w:p w:rsidR="008909C6" w:rsidRDefault="00640EA5"/>
    <w:sectPr w:rsidR="008909C6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9A" w:rsidRDefault="00E61D9A" w:rsidP="00E61D9A">
      <w:r>
        <w:separator/>
      </w:r>
    </w:p>
  </w:endnote>
  <w:endnote w:type="continuationSeparator" w:id="0">
    <w:p w:rsidR="00E61D9A" w:rsidRDefault="00E61D9A" w:rsidP="00E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FF32AB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40EA5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:rsidR="007A41AC" w:rsidRDefault="00FF32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A5">
          <w:rPr>
            <w:noProof/>
          </w:rPr>
          <w:t>3</w:t>
        </w:r>
        <w:r>
          <w:fldChar w:fldCharType="end"/>
        </w:r>
      </w:p>
    </w:sdtContent>
  </w:sdt>
  <w:p w:rsidR="006C5E10" w:rsidRDefault="00640EA5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9A" w:rsidRDefault="00E61D9A" w:rsidP="00E61D9A">
      <w:r>
        <w:separator/>
      </w:r>
    </w:p>
  </w:footnote>
  <w:footnote w:type="continuationSeparator" w:id="0">
    <w:p w:rsidR="00E61D9A" w:rsidRDefault="00E61D9A" w:rsidP="00E6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FF32AB">
    <w:pPr>
      <w:pStyle w:val="Kopfzeile"/>
    </w:pPr>
    <w:r>
      <w:rPr>
        <w:noProof/>
      </w:rPr>
      <w:drawing>
        <wp:inline distT="0" distB="0" distL="0" distR="0" wp14:anchorId="15F61FDA" wp14:editId="1E30AEDC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5E1" w:rsidRDefault="00E61D9A" w:rsidP="00E61D9A">
    <w:pPr>
      <w:pStyle w:val="Kopfzeile"/>
      <w:tabs>
        <w:tab w:val="clear" w:pos="4536"/>
        <w:tab w:val="clear" w:pos="9072"/>
        <w:tab w:val="left" w:pos="24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1B"/>
    <w:rsid w:val="0000496E"/>
    <w:rsid w:val="000B0B8D"/>
    <w:rsid w:val="00101109"/>
    <w:rsid w:val="00110AF1"/>
    <w:rsid w:val="00285C51"/>
    <w:rsid w:val="002974D0"/>
    <w:rsid w:val="002A3813"/>
    <w:rsid w:val="00585486"/>
    <w:rsid w:val="005C6D23"/>
    <w:rsid w:val="00633823"/>
    <w:rsid w:val="00640EA5"/>
    <w:rsid w:val="00652F93"/>
    <w:rsid w:val="006F5B2D"/>
    <w:rsid w:val="006F61D6"/>
    <w:rsid w:val="00791F1E"/>
    <w:rsid w:val="007D4BFA"/>
    <w:rsid w:val="007F6EC9"/>
    <w:rsid w:val="00824AE5"/>
    <w:rsid w:val="00860A58"/>
    <w:rsid w:val="00895B6E"/>
    <w:rsid w:val="00935057"/>
    <w:rsid w:val="00975A97"/>
    <w:rsid w:val="00A33DE4"/>
    <w:rsid w:val="00AD2BDD"/>
    <w:rsid w:val="00B03D1B"/>
    <w:rsid w:val="00B215BE"/>
    <w:rsid w:val="00B46AE7"/>
    <w:rsid w:val="00B60291"/>
    <w:rsid w:val="00C555B6"/>
    <w:rsid w:val="00D10B14"/>
    <w:rsid w:val="00D172B2"/>
    <w:rsid w:val="00D24114"/>
    <w:rsid w:val="00D9612A"/>
    <w:rsid w:val="00E148CF"/>
    <w:rsid w:val="00E61D9A"/>
    <w:rsid w:val="00E707FC"/>
    <w:rsid w:val="00E912F0"/>
    <w:rsid w:val="00F109B8"/>
    <w:rsid w:val="00F617C4"/>
    <w:rsid w:val="00F77CA8"/>
    <w:rsid w:val="00FB17A1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368708-E63B-403F-9D37-B54AD2A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0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0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D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B03D1B"/>
  </w:style>
  <w:style w:type="character" w:styleId="Hyperlink">
    <w:name w:val="Hyperlink"/>
    <w:rsid w:val="00B03D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D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DE4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64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bias.Gerstlauer@liqui-moly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31ED-F4C9-43A9-89C4-F990128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3</cp:revision>
  <cp:lastPrinted>2019-05-15T14:50:00Z</cp:lastPrinted>
  <dcterms:created xsi:type="dcterms:W3CDTF">2019-05-16T10:13:00Z</dcterms:created>
  <dcterms:modified xsi:type="dcterms:W3CDTF">2019-05-16T10:17:00Z</dcterms:modified>
</cp:coreProperties>
</file>